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D3A046" w14:textId="77777777" w:rsidR="002B6327" w:rsidRPr="002B6327" w:rsidRDefault="002B6327" w:rsidP="002B6327">
      <w:pPr>
        <w:spacing w:after="120" w:line="276" w:lineRule="auto"/>
        <w:rPr>
          <w:rFonts w:ascii="Cambria" w:hAnsi="Cambria"/>
          <w:b/>
          <w:bCs/>
          <w:sz w:val="28"/>
          <w:szCs w:val="28"/>
          <w:lang w:val="en-GB"/>
        </w:rPr>
      </w:pPr>
      <w:r w:rsidRPr="002B6327">
        <w:rPr>
          <w:rFonts w:ascii="Cambria" w:hAnsi="Cambria"/>
          <w:b/>
          <w:bCs/>
          <w:sz w:val="28"/>
          <w:szCs w:val="28"/>
          <w:lang w:val="en-GB"/>
        </w:rPr>
        <w:t>Higher Education, Research, Funding and University Autonomy in Brazil</w:t>
      </w:r>
    </w:p>
    <w:p w14:paraId="10B873D3"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Brazil has a large and highly diverse higher education system, comprising more than 2,500 higher education institutions. Almost 88 per cent of these institutions are private, including both for-profit and not-for-profit providers, while only around 12 per cent are public. Public institutions may be maintained by the federal government, by state governments or, in some cases, by municipalities. Despite their relatively small number, public institutions play a particularly important role in postgraduate education, research and scientific production.</w:t>
      </w:r>
    </w:p>
    <w:p w14:paraId="0F4029B1" w14:textId="513D1D4A" w:rsidR="002B6327" w:rsidRPr="002B6327" w:rsidRDefault="002B6327" w:rsidP="002B6327">
      <w:pPr>
        <w:spacing w:after="120" w:line="276" w:lineRule="auto"/>
        <w:rPr>
          <w:rFonts w:ascii="Cambria" w:hAnsi="Cambria"/>
          <w:lang w:val="en-GB"/>
        </w:rPr>
      </w:pPr>
      <w:r w:rsidRPr="002B6327">
        <w:rPr>
          <w:rFonts w:ascii="Cambria" w:hAnsi="Cambria"/>
          <w:lang w:val="en-GB"/>
        </w:rPr>
        <w:t xml:space="preserve">Universities themselves represent only around 8 per cent of all Brazilian higher education institutions, yet they enrol more than half of the country’s undergraduate students. </w:t>
      </w:r>
      <w:r w:rsidR="002C22DF">
        <w:rPr>
          <w:rFonts w:ascii="Cambria" w:hAnsi="Cambria"/>
          <w:lang w:val="en-GB"/>
        </w:rPr>
        <w:t>Of</w:t>
      </w:r>
      <w:r w:rsidRPr="002B6327">
        <w:rPr>
          <w:rFonts w:ascii="Cambria" w:hAnsi="Cambria"/>
          <w:lang w:val="en-GB"/>
        </w:rPr>
        <w:t xml:space="preserve"> Brazil’s just over 200 universities, </w:t>
      </w:r>
      <w:r w:rsidR="002C22DF">
        <w:rPr>
          <w:rFonts w:ascii="Cambria" w:hAnsi="Cambria"/>
          <w:lang w:val="en-GB"/>
        </w:rPr>
        <w:t>most</w:t>
      </w:r>
      <w:r w:rsidRPr="002B6327">
        <w:rPr>
          <w:rFonts w:ascii="Cambria" w:hAnsi="Cambria"/>
          <w:lang w:val="en-GB"/>
        </w:rPr>
        <w:t xml:space="preserve"> are public. University status in Brazil has a specific meaning: universities are expected to be comprehensive academic institutions </w:t>
      </w:r>
      <w:r w:rsidR="002C22DF">
        <w:rPr>
          <w:rFonts w:ascii="Cambria" w:hAnsi="Cambria"/>
          <w:lang w:val="en-GB"/>
        </w:rPr>
        <w:t>that combine</w:t>
      </w:r>
      <w:r w:rsidRPr="002B6327">
        <w:rPr>
          <w:rFonts w:ascii="Cambria" w:hAnsi="Cambria"/>
          <w:lang w:val="en-GB"/>
        </w:rPr>
        <w:t xml:space="preserve"> teaching, research</w:t>
      </w:r>
      <w:r w:rsidR="002C22DF">
        <w:rPr>
          <w:rFonts w:ascii="Cambria" w:hAnsi="Cambria"/>
          <w:lang w:val="en-GB"/>
        </w:rPr>
        <w:t>,</w:t>
      </w:r>
      <w:r w:rsidRPr="002B6327">
        <w:rPr>
          <w:rFonts w:ascii="Cambria" w:hAnsi="Cambria"/>
          <w:lang w:val="en-GB"/>
        </w:rPr>
        <w:t xml:space="preserve"> and extension, with defined requirements </w:t>
      </w:r>
      <w:r w:rsidR="002C22DF">
        <w:rPr>
          <w:rFonts w:ascii="Cambria" w:hAnsi="Cambria"/>
          <w:lang w:val="en-GB"/>
        </w:rPr>
        <w:t>for</w:t>
      </w:r>
      <w:r w:rsidRPr="002B6327">
        <w:rPr>
          <w:rFonts w:ascii="Cambria" w:hAnsi="Cambria"/>
          <w:lang w:val="en-GB"/>
        </w:rPr>
        <w:t xml:space="preserve"> research activity and faculty qualifications. Universities also occupy a distinctive position within the Brazilian higher education system because the Brazilian Constitution grants </w:t>
      </w:r>
      <w:r w:rsidR="002C22DF">
        <w:rPr>
          <w:rFonts w:ascii="Cambria" w:hAnsi="Cambria"/>
          <w:lang w:val="en-GB"/>
        </w:rPr>
        <w:t xml:space="preserve">them </w:t>
      </w:r>
      <w:r w:rsidRPr="002B6327">
        <w:rPr>
          <w:rFonts w:ascii="Cambria" w:hAnsi="Cambria"/>
          <w:lang w:val="en-GB"/>
        </w:rPr>
        <w:t>broad academic, administrative, financial</w:t>
      </w:r>
      <w:r w:rsidR="002C22DF">
        <w:rPr>
          <w:rFonts w:ascii="Cambria" w:hAnsi="Cambria"/>
          <w:lang w:val="en-GB"/>
        </w:rPr>
        <w:t>,</w:t>
      </w:r>
      <w:r w:rsidRPr="002B6327">
        <w:rPr>
          <w:rFonts w:ascii="Cambria" w:hAnsi="Cambria"/>
          <w:lang w:val="en-GB"/>
        </w:rPr>
        <w:t xml:space="preserve"> and patrimonial autonomy.</w:t>
      </w:r>
    </w:p>
    <w:p w14:paraId="2B8C1C15"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More than 10 million students are enrolled in undergraduate education in Brazil. Around 80 per cent of them study in private institutions, while only about 20 per cent are enrolled in the public sector. At postgraduate level, however, the situation is almost reversed. Brazil has approximately 325,000 students enrolled in master’s and doctoral programmes, and around 85 per cent of them study in public institutions. The public sector therefore has a much greater weight in advanced academic training than its share of undergraduate enrolment might suggest.</w:t>
      </w:r>
    </w:p>
    <w:p w14:paraId="391E0E9F"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Another important characteristic of Brazilian public universities is that students do not pay tuition fees. Federal and state public universities have also developed strong affirmative-action policies, including quota systems, together with student-support policies intended not only to facilitate access to higher education but also to help students remain at university and successfully complete their degrees. The Brazilian public higher education system therefore combines tuition-free education with policies intended to broaden access and support student retention.</w:t>
      </w:r>
    </w:p>
    <w:p w14:paraId="5123BE0E"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Public universities are also at the centre of Brazil’s research system. Although public institutions enrol only around one fifth of the country’s undergraduate students, they are responsible for the great majority of Brazilian academic research and scientific production. Estimates indicate that public institutions account for around 90 per cent of the country’s scientific output. In the higher education sector, approximately 90 per cent of research expenditure is concentrated in public universities. Academic research in Brazil is therefore overwhelmingly associated with public institutions and supported through public resources at both federal and state levels.</w:t>
      </w:r>
      <w:r w:rsidRPr="002B6327">
        <w:rPr>
          <w:rFonts w:ascii="Cambria" w:hAnsi="Cambria"/>
          <w:lang w:val="en-GB"/>
        </w:rPr>
        <w:br/>
        <w:t>This system has been built progressively over several decades and is supported through several complementary mechanisms. At the federal level, CAPES, an agency linked to the Ministry of Education, plays a central role in the organisation and support of postgraduate education. CAPES evaluates the Brazilian postgraduate system, covering more than 4,500 master’s and doctoral programmes, and supports around 100,000 postgraduate scholarships in the country. It also plays an important role in internationalisation through national programmes designed to strengthen collaboration between Brazilian and international institutions.</w:t>
      </w:r>
    </w:p>
    <w:p w14:paraId="633F062F"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CNPq, linked to the Ministry of Science, Technology and Innovation, has a complementary role, with a stronger emphasis on funding research projects. Such projects may also include scholarships for undergraduate and postgraduate students, as well as researchers working as members of research teams. Brazil therefore combines institutional funding for public universities with competitive research funding and scholarship programmes operated by national agencies.</w:t>
      </w:r>
    </w:p>
    <w:p w14:paraId="03DD36E2" w14:textId="08C5F0E6" w:rsidR="002B6327" w:rsidRPr="002B6327" w:rsidRDefault="002B6327" w:rsidP="002B6327">
      <w:pPr>
        <w:spacing w:after="120" w:line="276" w:lineRule="auto"/>
        <w:rPr>
          <w:rFonts w:ascii="Cambria" w:hAnsi="Cambria"/>
          <w:lang w:val="en-GB"/>
        </w:rPr>
      </w:pPr>
      <w:r>
        <w:rPr>
          <w:rFonts w:ascii="Cambria" w:hAnsi="Cambria"/>
          <w:lang w:val="en-GB"/>
        </w:rPr>
        <w:t>State</w:t>
      </w:r>
      <w:r w:rsidRPr="002B6327">
        <w:rPr>
          <w:rFonts w:ascii="Cambria" w:hAnsi="Cambria"/>
          <w:lang w:val="en-GB"/>
        </w:rPr>
        <w:t xml:space="preserve"> </w:t>
      </w:r>
      <w:r>
        <w:rPr>
          <w:rFonts w:ascii="Cambria" w:hAnsi="Cambria"/>
          <w:lang w:val="en-GB"/>
        </w:rPr>
        <w:t>research</w:t>
      </w:r>
      <w:r w:rsidRPr="002B6327">
        <w:rPr>
          <w:rFonts w:ascii="Cambria" w:hAnsi="Cambria"/>
          <w:lang w:val="en-GB"/>
        </w:rPr>
        <w:t xml:space="preserve"> </w:t>
      </w:r>
      <w:r>
        <w:rPr>
          <w:rFonts w:ascii="Cambria" w:hAnsi="Cambria"/>
          <w:lang w:val="en-GB"/>
        </w:rPr>
        <w:t>foundations provide</w:t>
      </w:r>
      <w:r w:rsidRPr="002B6327">
        <w:rPr>
          <w:rFonts w:ascii="Cambria" w:hAnsi="Cambria"/>
          <w:lang w:val="en-GB"/>
        </w:rPr>
        <w:t xml:space="preserve"> </w:t>
      </w:r>
      <w:r>
        <w:rPr>
          <w:rFonts w:ascii="Cambria" w:hAnsi="Cambria"/>
          <w:lang w:val="en-GB"/>
        </w:rPr>
        <w:t>another</w:t>
      </w:r>
      <w:r w:rsidRPr="002B6327">
        <w:rPr>
          <w:rFonts w:ascii="Cambria" w:hAnsi="Cambria"/>
          <w:lang w:val="en-GB"/>
        </w:rPr>
        <w:t xml:space="preserve"> important component of this system. Individual Brazilian states may maintain their own agencies to finance research, scholarships, infrastructure and innovation. Among these foundations, FAPESP — the São Paulo Research Foundation — is one of the largest and most important research funding agencies in Latin America. Its funding is constitutionally protected, with 1 per cent of São Paulo State tax revenue allocated to the Foundation. FAPESP invests around US$400 million annually in research projects, scholarships, scientific infrastructure, innovation and international collaboration. In 2025 alone, its research-related disbursements reached approximately US$420 million.</w:t>
      </w:r>
    </w:p>
    <w:p w14:paraId="588F2E9A"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The State of São Paulo is also a particularly relevant example of the relationship between public funding and university autonomy. Brazilian public universities may be funded by either the federal government or state governments. Unesp, together with the University of São Paulo — USP — and the University of Campinas — Unicamp — is funded by the State of São Paulo. In 1989, São Paulo introduced a distinctive system of financial autonomy for these three state universities. Rather than negotiating their entire budgets with the state government every year, the universities receive a predefined share of state tax revenue.</w:t>
      </w:r>
    </w:p>
    <w:p w14:paraId="07FBB41F"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Today, USP, Unesp and Unicamp collectively receive 9.57 per cent of the state’s share of ICMS, the principal state-level value-added tax. This arrangement establishes a direct relationship between state economic performance and university funding. When tax revenues increase, university revenues also increase; when state revenues decline, university revenues are correspondingly affected. The three universities together currently operate with a combined annual budget of approximately US$3.8 billion.</w:t>
      </w:r>
    </w:p>
    <w:p w14:paraId="5E39CB7F"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The significance of the São Paulo model, however, goes beyond the predictability of its funding mechanism. The three state universities enjoy a genuinely broad degree of autonomy, covering academic, administrative, financial and institutional matters. Within the resources available to them, they manage their own budgets, determine investment and institutional priorities and make strategic decisions regarding their development. The rectors, acting through the Council of Rectors of the São Paulo State Universities, also make decisions concerning salary adjustments for university employees.</w:t>
      </w:r>
    </w:p>
    <w:p w14:paraId="6A40B6DA"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This autonomy necessarily brings a corresponding level of responsibility. Although the funding mechanism provides the universities with a degree of predictability, the institutions themselves are responsible for determining how resources should be allocated, establishing priorities and ensuring their long-term financial sustainability. Autonomy, in this sense, is not simply freedom from direct government control; it is a governance model in which universities have both the authority and the responsibility to make long-term institutional choices.</w:t>
      </w:r>
    </w:p>
    <w:p w14:paraId="4FB3C2BA"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The development of USP, Unesp and Unicamp since the establishment of financial autonomy in 1989 illustrates the potential impact of this model. Over this period, the three institutions have consolidated their position among the leading universities in Brazil and Latin America. Their development, however, cannot be attributed to autonomy alone. It reflects the interaction of three particularly important elements: institutional autonomy, predictable public funding and a strong system of competitive research funding, especially through FAPESP.</w:t>
      </w:r>
    </w:p>
    <w:p w14:paraId="3E424B3D" w14:textId="77777777" w:rsidR="002B6327" w:rsidRPr="002B6327" w:rsidRDefault="002B6327" w:rsidP="002B6327">
      <w:pPr>
        <w:spacing w:after="120" w:line="276" w:lineRule="auto"/>
        <w:rPr>
          <w:rFonts w:ascii="Cambria" w:hAnsi="Cambria"/>
          <w:lang w:val="en-GB"/>
        </w:rPr>
      </w:pPr>
      <w:r w:rsidRPr="002B6327">
        <w:rPr>
          <w:rFonts w:ascii="Cambria" w:hAnsi="Cambria"/>
          <w:lang w:val="en-GB"/>
        </w:rPr>
        <w:t>The São Paulo experience therefore provides an interesting example of how university autonomy and public investment can reinforce one another. Stable institutional funding gives universities the capacity to plan beyond short-term political and budgetary cycles, while autonomy gives them the ability to determine academic priorities and allocate resources according to institutional strategies. At the same time, a strong research funding agency introduces competitive mechanisms and provides additional resources for research, infrastructure, innovation and international collaboration.</w:t>
      </w:r>
    </w:p>
    <w:p w14:paraId="104D2BB2" w14:textId="3479DCD3" w:rsidR="002B6327" w:rsidRPr="002B6327" w:rsidRDefault="002B6327" w:rsidP="002B6327">
      <w:pPr>
        <w:spacing w:after="120" w:line="276" w:lineRule="auto"/>
        <w:rPr>
          <w:rFonts w:ascii="Cambria" w:hAnsi="Cambria"/>
          <w:lang w:val="en-GB"/>
        </w:rPr>
      </w:pPr>
      <w:r w:rsidRPr="002B6327">
        <w:rPr>
          <w:rFonts w:ascii="Cambria" w:hAnsi="Cambria"/>
          <w:lang w:val="en-GB"/>
        </w:rPr>
        <w:t xml:space="preserve">More broadly, the Brazilian experience </w:t>
      </w:r>
      <w:r>
        <w:rPr>
          <w:rFonts w:ascii="Cambria" w:hAnsi="Cambria"/>
          <w:lang w:val="en-GB"/>
        </w:rPr>
        <w:t>show</w:t>
      </w:r>
      <w:r w:rsidRPr="002B6327">
        <w:rPr>
          <w:rFonts w:ascii="Cambria" w:hAnsi="Cambria"/>
          <w:lang w:val="en-GB"/>
        </w:rPr>
        <w:t xml:space="preserve">s the central role </w:t>
      </w:r>
      <w:r>
        <w:rPr>
          <w:rFonts w:ascii="Cambria" w:hAnsi="Cambria"/>
          <w:lang w:val="en-GB"/>
        </w:rPr>
        <w:t>of</w:t>
      </w:r>
      <w:r w:rsidRPr="002B6327">
        <w:rPr>
          <w:rFonts w:ascii="Cambria" w:hAnsi="Cambria"/>
          <w:lang w:val="en-GB"/>
        </w:rPr>
        <w:t xml:space="preserve"> public investment in sustaining postgraduate education and academic research. While private institutions account for </w:t>
      </w:r>
      <w:r>
        <w:rPr>
          <w:rFonts w:ascii="Cambria" w:hAnsi="Cambria"/>
          <w:lang w:val="en-GB"/>
        </w:rPr>
        <w:t>most</w:t>
      </w:r>
      <w:r w:rsidRPr="002B6327">
        <w:rPr>
          <w:rFonts w:ascii="Cambria" w:hAnsi="Cambria"/>
          <w:lang w:val="en-GB"/>
        </w:rPr>
        <w:t xml:space="preserve"> undergraduate enrolments and </w:t>
      </w:r>
      <w:proofErr w:type="gramStart"/>
      <w:r w:rsidRPr="002B6327">
        <w:rPr>
          <w:rFonts w:ascii="Cambria" w:hAnsi="Cambria"/>
          <w:lang w:val="en-GB"/>
        </w:rPr>
        <w:t>the overwhelming majority of</w:t>
      </w:r>
      <w:proofErr w:type="gramEnd"/>
      <w:r w:rsidRPr="002B6327">
        <w:rPr>
          <w:rFonts w:ascii="Cambria" w:hAnsi="Cambria"/>
          <w:lang w:val="en-GB"/>
        </w:rPr>
        <w:t xml:space="preserve"> higher education institutions, public universities remain central to postgraduate education, scientific production</w:t>
      </w:r>
      <w:r>
        <w:rPr>
          <w:rFonts w:ascii="Cambria" w:hAnsi="Cambria"/>
          <w:lang w:val="en-GB"/>
        </w:rPr>
        <w:t>,</w:t>
      </w:r>
      <w:r w:rsidRPr="002B6327">
        <w:rPr>
          <w:rFonts w:ascii="Cambria" w:hAnsi="Cambria"/>
          <w:lang w:val="en-GB"/>
        </w:rPr>
        <w:t xml:space="preserve"> and research capacity. Federal agencies such as CAPES and CNPq, state research foundations such as FAPESP, and the institutional budgets of federal and state universities together form an interconnected public funding ecosystem.</w:t>
      </w:r>
    </w:p>
    <w:p w14:paraId="7B91F88B" w14:textId="4B50347B" w:rsidR="002B6327" w:rsidRPr="002B6327" w:rsidRDefault="002B6327" w:rsidP="002B6327">
      <w:pPr>
        <w:spacing w:after="120" w:line="276" w:lineRule="auto"/>
        <w:rPr>
          <w:rFonts w:ascii="Cambria" w:hAnsi="Cambria"/>
          <w:lang w:val="en-GB"/>
        </w:rPr>
      </w:pPr>
      <w:r w:rsidRPr="002B6327">
        <w:rPr>
          <w:rFonts w:ascii="Cambria" w:hAnsi="Cambria"/>
          <w:lang w:val="en-GB"/>
        </w:rPr>
        <w:t xml:space="preserve">In this context, university autonomy should not be understood simply as the freedom to spend public resources. It is better understood as </w:t>
      </w:r>
      <w:r>
        <w:rPr>
          <w:rFonts w:ascii="Cambria" w:hAnsi="Cambria"/>
          <w:lang w:val="en-GB"/>
        </w:rPr>
        <w:t>universities'</w:t>
      </w:r>
      <w:r w:rsidRPr="002B6327">
        <w:rPr>
          <w:rFonts w:ascii="Cambria" w:hAnsi="Cambria"/>
          <w:lang w:val="en-GB"/>
        </w:rPr>
        <w:t xml:space="preserve"> capacity to make long-term academic and institutional choices, combined with the responsibility to ensure those choices remain financially and institutionally sustainable.</w:t>
      </w:r>
    </w:p>
    <w:p w14:paraId="6C56C217" w14:textId="77777777" w:rsidR="00F277CF" w:rsidRPr="002B6327" w:rsidRDefault="00F277CF" w:rsidP="0074745C">
      <w:pPr>
        <w:spacing w:after="120" w:line="276" w:lineRule="auto"/>
        <w:rPr>
          <w:rFonts w:ascii="Cambria" w:hAnsi="Cambria"/>
          <w:lang w:val="en-GB"/>
        </w:rPr>
      </w:pPr>
    </w:p>
    <w:sectPr w:rsidR="00F277CF" w:rsidRPr="002B6327" w:rsidSect="0074745C">
      <w:pgSz w:w="11906" w:h="16838"/>
      <w:pgMar w:top="616" w:right="611" w:bottom="1058" w:left="946" w:header="357" w:footer="992" w:gutter="0"/>
      <w:cols w:space="708"/>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08"/>
  <w:hyphenationZone w:val="425"/>
  <w:drawingGridHorizontalSpacing w:val="105"/>
  <w:drawingGridVerticalSpacing w:val="14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626"/>
    <w:rsid w:val="00057285"/>
    <w:rsid w:val="000B0AE3"/>
    <w:rsid w:val="000E16FF"/>
    <w:rsid w:val="00150D52"/>
    <w:rsid w:val="001A25DF"/>
    <w:rsid w:val="00217C06"/>
    <w:rsid w:val="00231D90"/>
    <w:rsid w:val="002A6530"/>
    <w:rsid w:val="002B6327"/>
    <w:rsid w:val="002C22DF"/>
    <w:rsid w:val="00356EF8"/>
    <w:rsid w:val="00422D41"/>
    <w:rsid w:val="0048624D"/>
    <w:rsid w:val="004A4587"/>
    <w:rsid w:val="004C22B0"/>
    <w:rsid w:val="004E795D"/>
    <w:rsid w:val="00510626"/>
    <w:rsid w:val="00523AC1"/>
    <w:rsid w:val="00550C75"/>
    <w:rsid w:val="00570062"/>
    <w:rsid w:val="00572210"/>
    <w:rsid w:val="00677692"/>
    <w:rsid w:val="006B4B69"/>
    <w:rsid w:val="0074745C"/>
    <w:rsid w:val="00766E71"/>
    <w:rsid w:val="00831E87"/>
    <w:rsid w:val="0084400A"/>
    <w:rsid w:val="009A6C98"/>
    <w:rsid w:val="00A11E37"/>
    <w:rsid w:val="00AB60FB"/>
    <w:rsid w:val="00AC0918"/>
    <w:rsid w:val="00B1790D"/>
    <w:rsid w:val="00C3233B"/>
    <w:rsid w:val="00D21B6E"/>
    <w:rsid w:val="00D27917"/>
    <w:rsid w:val="00E024A7"/>
    <w:rsid w:val="00E73A3F"/>
    <w:rsid w:val="00ED20F1"/>
    <w:rsid w:val="00F277CF"/>
    <w:rsid w:val="00F8440C"/>
    <w:rsid w:val="00FC35BB"/>
    <w:rsid w:val="00FF59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77B5"/>
  <w15:chartTrackingRefBased/>
  <w15:docId w15:val="{3252A35D-220F-E044-9245-A8AB70D7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95D"/>
  </w:style>
  <w:style w:type="paragraph" w:styleId="Ttulo1">
    <w:name w:val="heading 1"/>
    <w:basedOn w:val="Normal"/>
    <w:next w:val="Normal"/>
    <w:link w:val="Ttulo1Char"/>
    <w:uiPriority w:val="9"/>
    <w:qFormat/>
    <w:rsid w:val="00510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5106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5106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106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106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1062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1062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1062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10626"/>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1062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51062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51062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1062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1062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1062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1062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1062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10626"/>
    <w:rPr>
      <w:rFonts w:eastAsiaTheme="majorEastAsia" w:cstheme="majorBidi"/>
      <w:color w:val="272727" w:themeColor="text1" w:themeTint="D8"/>
    </w:rPr>
  </w:style>
  <w:style w:type="paragraph" w:styleId="Ttulo">
    <w:name w:val="Title"/>
    <w:basedOn w:val="Normal"/>
    <w:next w:val="Normal"/>
    <w:link w:val="TtuloChar"/>
    <w:uiPriority w:val="10"/>
    <w:qFormat/>
    <w:rsid w:val="00510626"/>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106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10626"/>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1062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10626"/>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510626"/>
    <w:rPr>
      <w:i/>
      <w:iCs/>
      <w:color w:val="404040" w:themeColor="text1" w:themeTint="BF"/>
    </w:rPr>
  </w:style>
  <w:style w:type="paragraph" w:styleId="PargrafodaLista">
    <w:name w:val="List Paragraph"/>
    <w:basedOn w:val="Normal"/>
    <w:uiPriority w:val="34"/>
    <w:qFormat/>
    <w:rsid w:val="00510626"/>
    <w:pPr>
      <w:ind w:left="720"/>
      <w:contextualSpacing/>
    </w:pPr>
  </w:style>
  <w:style w:type="character" w:styleId="nfaseIntensa">
    <w:name w:val="Intense Emphasis"/>
    <w:basedOn w:val="Fontepargpadro"/>
    <w:uiPriority w:val="21"/>
    <w:qFormat/>
    <w:rsid w:val="00510626"/>
    <w:rPr>
      <w:i/>
      <w:iCs/>
      <w:color w:val="0F4761" w:themeColor="accent1" w:themeShade="BF"/>
    </w:rPr>
  </w:style>
  <w:style w:type="paragraph" w:styleId="CitaoIntensa">
    <w:name w:val="Intense Quote"/>
    <w:basedOn w:val="Normal"/>
    <w:next w:val="Normal"/>
    <w:link w:val="CitaoIntensaChar"/>
    <w:uiPriority w:val="30"/>
    <w:qFormat/>
    <w:rsid w:val="00510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10626"/>
    <w:rPr>
      <w:i/>
      <w:iCs/>
      <w:color w:val="0F4761" w:themeColor="accent1" w:themeShade="BF"/>
    </w:rPr>
  </w:style>
  <w:style w:type="character" w:styleId="RefernciaIntensa">
    <w:name w:val="Intense Reference"/>
    <w:basedOn w:val="Fontepargpadro"/>
    <w:uiPriority w:val="32"/>
    <w:qFormat/>
    <w:rsid w:val="00510626"/>
    <w:rPr>
      <w:b/>
      <w:bCs/>
      <w:smallCaps/>
      <w:color w:val="0F4761" w:themeColor="accent1" w:themeShade="BF"/>
      <w:spacing w:val="5"/>
    </w:rPr>
  </w:style>
  <w:style w:type="paragraph" w:styleId="NormalWeb">
    <w:name w:val="Normal (Web)"/>
    <w:basedOn w:val="Normal"/>
    <w:uiPriority w:val="99"/>
    <w:semiHidden/>
    <w:unhideWhenUsed/>
    <w:rsid w:val="0084400A"/>
    <w:pPr>
      <w:spacing w:before="100" w:beforeAutospacing="1" w:after="100" w:afterAutospacing="1"/>
    </w:pPr>
    <w:rPr>
      <w:rFonts w:ascii="Times New Roman" w:eastAsia="Times New Roman" w:hAnsi="Times New Roman" w:cs="Times New Roman"/>
      <w:kern w:val="0"/>
      <w:lang w:eastAsia="pt-BR"/>
      <w14:ligatures w14:val="none"/>
    </w:rPr>
  </w:style>
  <w:style w:type="character" w:styleId="Forte">
    <w:name w:val="Strong"/>
    <w:basedOn w:val="Fontepargpadro"/>
    <w:uiPriority w:val="22"/>
    <w:qFormat/>
    <w:rsid w:val="0084400A"/>
    <w:rPr>
      <w:b/>
      <w:bCs/>
    </w:rPr>
  </w:style>
  <w:style w:type="character" w:styleId="nfase">
    <w:name w:val="Emphasis"/>
    <w:basedOn w:val="Fontepargpadro"/>
    <w:uiPriority w:val="20"/>
    <w:qFormat/>
    <w:rsid w:val="0084400A"/>
    <w:rPr>
      <w:i/>
      <w:iCs/>
    </w:rPr>
  </w:style>
  <w:style w:type="character" w:styleId="Hyperlink">
    <w:name w:val="Hyperlink"/>
    <w:basedOn w:val="Fontepargpadro"/>
    <w:uiPriority w:val="99"/>
    <w:semiHidden/>
    <w:unhideWhenUsed/>
    <w:rsid w:val="0084400A"/>
    <w:rPr>
      <w:color w:val="0000FF"/>
      <w:u w:val="single"/>
    </w:rPr>
  </w:style>
  <w:style w:type="paragraph" w:customStyle="1" w:styleId="isselectedend">
    <w:name w:val="isselectedend"/>
    <w:basedOn w:val="Normal"/>
    <w:rsid w:val="0074745C"/>
    <w:pPr>
      <w:spacing w:before="100" w:beforeAutospacing="1" w:after="100" w:afterAutospacing="1"/>
    </w:pPr>
    <w:rPr>
      <w:rFonts w:ascii="Times New Roman" w:eastAsia="Times New Roman" w:hAnsi="Times New Roman" w:cs="Times New Roman"/>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1444</Words>
  <Characters>7803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Celso Freire Junior</dc:creator>
  <cp:keywords/>
  <dc:description/>
  <cp:lastModifiedBy>Jose Celso Freire Junior</cp:lastModifiedBy>
  <cp:revision>3</cp:revision>
  <cp:lastPrinted>2026-08-27T16:34:00Z</cp:lastPrinted>
  <dcterms:created xsi:type="dcterms:W3CDTF">2026-09-15T09:49:00Z</dcterms:created>
  <dcterms:modified xsi:type="dcterms:W3CDTF">2026-09-15T09:49:00Z</dcterms:modified>
</cp:coreProperties>
</file>